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/>
      </w:pPr>
      <w:r>
        <w:rPr/>
        <w:drawing>
          <wp:inline distT="0" distB="0" distL="0" distR="0">
            <wp:extent cx="1216660" cy="110426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mc:AlternateContent>
          <mc:Choice Requires="wps">
            <w:drawing>
              <wp:inline distT="0" distB="266700" distL="19050" distR="2540" wp14:anchorId="008930F0">
                <wp:extent cx="5695315" cy="821055"/>
                <wp:effectExtent l="19050" t="0" r="2540" b="266700"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840" cy="82044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blipFill rotWithShape="0">
                          <a:blip r:embed="rId3"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  <a:effectLst>
                          <a:reflection algn="bl" blurRad="12700" dir="5400000" dist="5000" endPos="28000" rotWithShape="0" stA="38000" sy="-100000"/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/>
          </mc:Fallback>
        </mc:AlternateContent>
      </w:r>
      <w:r>
        <w:rPr>
          <w:b/>
          <w:i/>
          <w:color w:val="0070C0"/>
        </w:rPr>
        <w:t xml:space="preserve"> </w:t>
      </w:r>
      <w:r>
        <w:rPr>
          <w:b/>
          <w:i/>
          <w:color w:val="0070C0"/>
          <w:lang w:val="en-US"/>
        </w:rPr>
        <w:t>HR</w:t>
      </w:r>
      <w:r>
        <w:rPr>
          <w:b/>
          <w:i/>
          <w:color w:val="0070C0"/>
        </w:rPr>
        <w:t xml:space="preserve"> решение для Вашего бизнеса</w:t>
      </w:r>
    </w:p>
    <w:p>
      <w:pPr>
        <w:pStyle w:val="1"/>
        <w:jc w:val="center"/>
        <w:rPr>
          <w:sz w:val="30"/>
          <w:szCs w:val="30"/>
        </w:rPr>
      </w:pPr>
      <w:r>
        <w:rPr>
          <w:sz w:val="30"/>
          <w:szCs w:val="30"/>
        </w:rPr>
        <w:t>КОММЕРЧЕСКОЕ ПРЕДЛОЖЕНИЕ</w:t>
      </w:r>
    </w:p>
    <w:p>
      <w:pPr>
        <w:pStyle w:val="Style20"/>
        <w:jc w:val="center"/>
        <w:rPr>
          <w:b/>
          <w:b/>
          <w:color w:val="0070C0"/>
          <w:sz w:val="30"/>
          <w:szCs w:val="30"/>
        </w:rPr>
      </w:pPr>
      <w:r>
        <w:rPr>
          <w:b/>
          <w:color w:val="0070C0"/>
          <w:sz w:val="30"/>
          <w:szCs w:val="30"/>
        </w:rPr>
        <w:t>по предоставлению услуг в сфере управления персоналом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Компания ООО «Ваш Выбор+»  предлагает Вашему вниманию спектр услуг в сфере управления персоналом, а именно:</w:t>
      </w:r>
    </w:p>
    <w:tbl>
      <w:tblPr>
        <w:tblStyle w:val="a7"/>
        <w:tblW w:w="10456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5809"/>
        <w:gridCol w:w="3972"/>
      </w:tblGrid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58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Наименование услуги</w:t>
            </w:r>
          </w:p>
        </w:tc>
        <w:tc>
          <w:tcPr>
            <w:tcW w:w="3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Стоимость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58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Подбор линейного персонала</w:t>
            </w:r>
          </w:p>
        </w:tc>
        <w:tc>
          <w:tcPr>
            <w:tcW w:w="3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 20 000 руб.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58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Подбор менеджеров/специалистов</w:t>
            </w:r>
          </w:p>
        </w:tc>
        <w:tc>
          <w:tcPr>
            <w:tcW w:w="3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 30 000 руб.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3</w:t>
            </w:r>
          </w:p>
        </w:tc>
        <w:tc>
          <w:tcPr>
            <w:tcW w:w="58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Подбор на руководящие позиции</w:t>
            </w:r>
          </w:p>
        </w:tc>
        <w:tc>
          <w:tcPr>
            <w:tcW w:w="3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 50 000 руб.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4</w:t>
            </w:r>
          </w:p>
        </w:tc>
        <w:tc>
          <w:tcPr>
            <w:tcW w:w="58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Консалтинг</w:t>
            </w:r>
          </w:p>
        </w:tc>
        <w:tc>
          <w:tcPr>
            <w:tcW w:w="3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5 000 руб./ час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58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Ведение воинского учета</w:t>
            </w:r>
          </w:p>
        </w:tc>
        <w:tc>
          <w:tcPr>
            <w:tcW w:w="3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 20 000 руб.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6</w:t>
            </w:r>
          </w:p>
        </w:tc>
        <w:tc>
          <w:tcPr>
            <w:tcW w:w="58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Кадровый  аудит:</w:t>
            </w:r>
          </w:p>
        </w:tc>
        <w:tc>
          <w:tcPr>
            <w:tcW w:w="3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648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Кол-во штатных единиц (сотрудников) до 100 чел.</w:t>
            </w:r>
          </w:p>
        </w:tc>
        <w:tc>
          <w:tcPr>
            <w:tcW w:w="3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 40 000 руб.</w:t>
            </w:r>
          </w:p>
        </w:tc>
      </w:tr>
      <w:tr>
        <w:trPr/>
        <w:tc>
          <w:tcPr>
            <w:tcW w:w="648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Кол-во штатных единиц (сотрудников) от 100 до 200 чел.</w:t>
            </w:r>
          </w:p>
        </w:tc>
        <w:tc>
          <w:tcPr>
            <w:tcW w:w="3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 50 000 руб.</w:t>
            </w:r>
          </w:p>
        </w:tc>
      </w:tr>
      <w:tr>
        <w:trPr/>
        <w:tc>
          <w:tcPr>
            <w:tcW w:w="648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Кол-во штатных единиц (сотрудников) от 200 до 400 чел.</w:t>
            </w:r>
          </w:p>
        </w:tc>
        <w:tc>
          <w:tcPr>
            <w:tcW w:w="3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 60 000 руб.</w:t>
            </w:r>
          </w:p>
        </w:tc>
      </w:tr>
      <w:tr>
        <w:trPr/>
        <w:tc>
          <w:tcPr>
            <w:tcW w:w="648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Кол-во штатных единиц (сотрудников) от 400 до 700 чел.</w:t>
            </w:r>
          </w:p>
        </w:tc>
        <w:tc>
          <w:tcPr>
            <w:tcW w:w="3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 70 000 руб.</w:t>
            </w:r>
          </w:p>
        </w:tc>
      </w:tr>
      <w:tr>
        <w:trPr/>
        <w:tc>
          <w:tcPr>
            <w:tcW w:w="648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Кол-во штатных единиц (сотрудников) от 700 до 1000 чел.</w:t>
            </w:r>
          </w:p>
        </w:tc>
        <w:tc>
          <w:tcPr>
            <w:tcW w:w="3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 80 000 руб.</w:t>
            </w:r>
          </w:p>
        </w:tc>
      </w:tr>
      <w:tr>
        <w:trPr/>
        <w:tc>
          <w:tcPr>
            <w:tcW w:w="648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Кол-во штатных единиц (сотрудников) свыше 1000 чел.</w:t>
            </w:r>
          </w:p>
        </w:tc>
        <w:tc>
          <w:tcPr>
            <w:tcW w:w="3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* Обсуждается индивидуально с клиентом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7</w:t>
            </w:r>
          </w:p>
        </w:tc>
        <w:tc>
          <w:tcPr>
            <w:tcW w:w="58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 xml:space="preserve">Аудит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HR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-процессов</w:t>
            </w:r>
          </w:p>
        </w:tc>
        <w:tc>
          <w:tcPr>
            <w:tcW w:w="3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 договоренности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8</w:t>
            </w:r>
          </w:p>
        </w:tc>
        <w:tc>
          <w:tcPr>
            <w:tcW w:w="58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Кадровое делопроизводство</w:t>
            </w:r>
          </w:p>
        </w:tc>
        <w:tc>
          <w:tcPr>
            <w:tcW w:w="3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 договоренности</w:t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58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Разработка локальных нормативных актов</w:t>
            </w:r>
          </w:p>
        </w:tc>
        <w:tc>
          <w:tcPr>
            <w:tcW w:w="39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 договоренности</w:t>
            </w:r>
          </w:p>
        </w:tc>
      </w:tr>
    </w:tbl>
    <w:p>
      <w:pPr>
        <w:pStyle w:val="Normal"/>
        <w:ind w:left="567" w:hanging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Подробную информацию Вы можете получить, отправив заявку на электронную почту </w:t>
      </w:r>
      <w:r>
        <w:rPr>
          <w:rFonts w:cs="Times New Roman" w:ascii="Times New Roman" w:hAnsi="Times New Roman"/>
          <w:b/>
          <w:color w:val="0070C0"/>
          <w:sz w:val="28"/>
          <w:szCs w:val="28"/>
          <w:u w:val="single"/>
          <w:lang w:val="en-US"/>
        </w:rPr>
        <w:t>hrvashvibor</w:t>
      </w:r>
      <w:r>
        <w:rPr>
          <w:rFonts w:cs="Times New Roman" w:ascii="Times New Roman" w:hAnsi="Times New Roman"/>
          <w:b/>
          <w:color w:val="0070C0"/>
          <w:sz w:val="28"/>
          <w:szCs w:val="28"/>
          <w:u w:val="single"/>
        </w:rPr>
        <w:t>@</w:t>
      </w:r>
      <w:r>
        <w:rPr>
          <w:rFonts w:cs="Times New Roman" w:ascii="Times New Roman" w:hAnsi="Times New Roman"/>
          <w:b/>
          <w:color w:val="0070C0"/>
          <w:sz w:val="28"/>
          <w:szCs w:val="28"/>
          <w:u w:val="single"/>
          <w:lang w:val="en-US"/>
        </w:rPr>
        <w:t>mail</w:t>
      </w:r>
      <w:r>
        <w:rPr>
          <w:rFonts w:cs="Times New Roman" w:ascii="Times New Roman" w:hAnsi="Times New Roman"/>
          <w:b/>
          <w:color w:val="0070C0"/>
          <w:sz w:val="28"/>
          <w:szCs w:val="28"/>
          <w:u w:val="single"/>
        </w:rPr>
        <w:t>.</w:t>
      </w:r>
      <w:r>
        <w:rPr>
          <w:rFonts w:cs="Times New Roman" w:ascii="Times New Roman" w:hAnsi="Times New Roman"/>
          <w:b/>
          <w:color w:val="0070C0"/>
          <w:sz w:val="28"/>
          <w:szCs w:val="28"/>
          <w:u w:val="single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 xml:space="preserve"> или в </w:t>
      </w:r>
      <w:r>
        <w:rPr>
          <w:rFonts w:cs="Times New Roman" w:ascii="Times New Roman" w:hAnsi="Times New Roman"/>
          <w:sz w:val="28"/>
          <w:szCs w:val="28"/>
          <w:lang w:val="en-US"/>
        </w:rPr>
        <w:t>WhatsApp</w:t>
      </w:r>
      <w:r>
        <w:rPr>
          <w:rFonts w:cs="Times New Roman" w:ascii="Times New Roman" w:hAnsi="Times New Roman"/>
          <w:sz w:val="28"/>
          <w:szCs w:val="28"/>
        </w:rPr>
        <w:t xml:space="preserve"> по номеру:</w:t>
      </w:r>
      <w:r>
        <w:rPr>
          <w:rFonts w:cs="Times New Roman" w:ascii="Times New Roman" w:hAnsi="Times New Roman"/>
          <w:b/>
          <w:color w:val="0070C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70C0"/>
          <w:sz w:val="28"/>
          <w:szCs w:val="28"/>
          <w:u w:val="single"/>
        </w:rPr>
        <w:t>+ 7 928 104-33-83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.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  <w:r>
        <w:rPr>
          <w:rFonts w:cs="Times New Roman" w:ascii="Times New Roman" w:hAnsi="Times New Roman"/>
          <w:color w:val="000000" w:themeColor="text1"/>
          <w:sz w:val="10"/>
          <w:szCs w:val="10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i/>
          <w:i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  <w:u w:val="single"/>
        </w:rPr>
        <w:t>Обращаем Ваше внимание!</w:t>
      </w:r>
      <w:r>
        <w:rPr>
          <w:rFonts w:cs="Times New Roman" w:ascii="Times New Roman" w:hAnsi="Times New Roman"/>
          <w:b/>
          <w:color w:val="000000" w:themeColor="text1"/>
        </w:rPr>
        <w:t xml:space="preserve"> </w:t>
      </w:r>
      <w:r>
        <w:rPr>
          <w:rFonts w:cs="Times New Roman" w:ascii="Times New Roman" w:hAnsi="Times New Roman"/>
          <w:i/>
          <w:color w:val="000000" w:themeColor="text1"/>
        </w:rPr>
        <w:t xml:space="preserve">мы даем гарантию на свои услуги. </w:t>
      </w:r>
      <w:r>
        <w:rPr>
          <w:rFonts w:cs="Times New Roman" w:ascii="Times New Roman" w:hAnsi="Times New Roman"/>
          <w:i/>
          <w:color w:val="000000" w:themeColor="text1"/>
        </w:rPr>
        <w:t>Н</w:t>
      </w:r>
      <w:r>
        <w:rPr>
          <w:rFonts w:cs="Times New Roman" w:ascii="Times New Roman" w:hAnsi="Times New Roman"/>
          <w:i/>
          <w:color w:val="000000" w:themeColor="text1"/>
        </w:rPr>
        <w:t xml:space="preserve">аправление потенциальным Заказчиком запроса и представления нами предложения не накладывает на стороны никаких обязательств до момента заключения договора и внесения предоплаты. 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i/>
          <w:i/>
          <w:color w:val="000000" w:themeColor="text1"/>
          <w:u w:val="single"/>
        </w:rPr>
      </w:pPr>
      <w:r>
        <w:rPr>
          <w:rFonts w:cs="Times New Roman" w:ascii="Times New Roman" w:hAnsi="Times New Roman"/>
          <w:sz w:val="26"/>
          <w:szCs w:val="26"/>
        </w:rPr>
        <w:t xml:space="preserve">С Уважением, 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Генеральный директор ООО «Ваш Выбор»  ___________________ Запорожец П.В.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mc:AlternateContent>
          <mc:Choice Requires="wps">
            <w:drawing>
              <wp:anchor behindDoc="1" distT="0" distB="0" distL="0" distR="0" simplePos="0" locked="0" layoutInCell="0" allowOverlap="1" relativeHeight="4" wp14:anchorId="2E678E6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7170420" cy="1347470"/>
                <wp:effectExtent l="19050" t="0" r="0" b="445135"/>
                <wp:wrapNone/>
                <wp:docPr id="3" name="Рисунок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9760" cy="134676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blipFill rotWithShape="0">
                          <a:blip r:embed="rId4"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  <a:effectLst>
                          <a:reflection algn="bl" blurRad="12700" dir="5400000" dist="5000" endPos="28000" rotWithShape="0" stA="38000" sy="-100000"/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bookmarkStart w:id="0" w:name="_GoBack"/>
      <w:bookmarkStart w:id="1" w:name="_GoBack"/>
      <w:bookmarkEnd w:id="1"/>
    </w:p>
    <w:p>
      <w:pPr>
        <w:pStyle w:val="Normal"/>
        <w:ind w:left="567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426" w:right="424" w:header="0" w:top="142" w:footer="0" w:bottom="14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57d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84452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E65B0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a802da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FE8637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ab68c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84452c"/>
    <w:rPr>
      <w:rFonts w:ascii="Cambria" w:hAnsi="Cambria" w:eastAsia="" w:cs="" w:asciiTheme="majorHAnsi" w:cstheme="majorBidi" w:eastAsiaTheme="majorEastAsia" w:hAnsiTheme="majorHAnsi"/>
      <w:b/>
      <w:bCs/>
      <w:color w:val="E65B01" w:themeColor="accent1" w:themeShade="bf"/>
      <w:sz w:val="28"/>
      <w:szCs w:val="28"/>
    </w:rPr>
  </w:style>
  <w:style w:type="character" w:styleId="Style13" w:customStyle="1">
    <w:name w:val="Подзаголовок Знак"/>
    <w:basedOn w:val="DefaultParagraphFont"/>
    <w:link w:val="a5"/>
    <w:uiPriority w:val="11"/>
    <w:qFormat/>
    <w:rsid w:val="0084452c"/>
    <w:rPr>
      <w:rFonts w:ascii="Cambria" w:hAnsi="Cambria" w:eastAsia="" w:cs="" w:asciiTheme="majorHAnsi" w:cstheme="majorBidi" w:eastAsiaTheme="majorEastAsia" w:hAnsiTheme="majorHAnsi"/>
      <w:i/>
      <w:iCs/>
      <w:color w:val="FE8637" w:themeColor="accent1"/>
      <w:spacing w:val="15"/>
      <w:sz w:val="24"/>
      <w:szCs w:val="24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a802da"/>
    <w:rPr>
      <w:rFonts w:ascii="Cambria" w:hAnsi="Cambria" w:eastAsia="" w:cs="" w:asciiTheme="majorHAnsi" w:cstheme="majorBidi" w:eastAsiaTheme="majorEastAsia" w:hAnsiTheme="majorHAnsi"/>
      <w:b/>
      <w:bCs/>
      <w:color w:val="FE8637" w:themeColor="accent1"/>
      <w:sz w:val="26"/>
      <w:szCs w:val="26"/>
    </w:rPr>
  </w:style>
  <w:style w:type="character" w:styleId="Style14" w:customStyle="1">
    <w:name w:val="Название Знак"/>
    <w:basedOn w:val="DefaultParagraphFont"/>
    <w:link w:val="aa"/>
    <w:uiPriority w:val="10"/>
    <w:qFormat/>
    <w:rsid w:val="00a802da"/>
    <w:rPr>
      <w:rFonts w:ascii="Cambria" w:hAnsi="Cambria" w:eastAsia="" w:cs="" w:asciiTheme="majorHAnsi" w:cstheme="majorBidi" w:eastAsiaTheme="majorEastAsia" w:hAnsiTheme="majorHAnsi"/>
      <w:color w:val="414751" w:themeColor="text2" w:themeShade="bf"/>
      <w:spacing w:val="5"/>
      <w:kern w:val="2"/>
      <w:sz w:val="52"/>
      <w:szCs w:val="52"/>
    </w:rPr>
  </w:style>
  <w:style w:type="character" w:styleId="22" w:customStyle="1">
    <w:name w:val="Цитата 2 Знак"/>
    <w:basedOn w:val="DefaultParagraphFont"/>
    <w:link w:val="21"/>
    <w:uiPriority w:val="29"/>
    <w:qFormat/>
    <w:rsid w:val="00a802da"/>
    <w:rPr>
      <w:i/>
      <w:iCs/>
      <w:color w:val="000000" w:themeColor="text1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ab68c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Subtitle"/>
    <w:basedOn w:val="Normal"/>
    <w:next w:val="Normal"/>
    <w:link w:val="a6"/>
    <w:uiPriority w:val="11"/>
    <w:qFormat/>
    <w:rsid w:val="0084452c"/>
    <w:pPr/>
    <w:rPr>
      <w:rFonts w:ascii="Cambria" w:hAnsi="Cambria" w:eastAsia="" w:cs="" w:asciiTheme="majorHAnsi" w:cstheme="majorBidi" w:eastAsiaTheme="majorEastAsia" w:hAnsiTheme="majorHAnsi"/>
      <w:i/>
      <w:iCs/>
      <w:color w:val="FE8637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466686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a802d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1">
    <w:name w:val="Title"/>
    <w:basedOn w:val="Normal"/>
    <w:next w:val="Normal"/>
    <w:link w:val="ab"/>
    <w:uiPriority w:val="10"/>
    <w:qFormat/>
    <w:rsid w:val="00a802da"/>
    <w:pPr>
      <w:pBdr>
        <w:bottom w:val="single" w:sz="8" w:space="4" w:color="FE8637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414751" w:themeColor="text2" w:themeShade="bf"/>
      <w:spacing w:val="5"/>
      <w:kern w:val="2"/>
      <w:sz w:val="52"/>
      <w:szCs w:val="52"/>
    </w:rPr>
  </w:style>
  <w:style w:type="paragraph" w:styleId="Quote">
    <w:name w:val="Quote"/>
    <w:basedOn w:val="Normal"/>
    <w:next w:val="Normal"/>
    <w:link w:val="22"/>
    <w:uiPriority w:val="29"/>
    <w:qFormat/>
    <w:rsid w:val="00a802da"/>
    <w:pPr/>
    <w:rPr>
      <w:i/>
      <w:iCs/>
      <w:color w:val="000000" w:themeColor="text1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445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EEFD5-477E-4558-9BDE-E3948996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Application>LibreOffice/7.0.1.2$Windows_x86 LibreOffice_project/7cbcfc562f6eb6708b5ff7d7397325de9e764452</Application>
  <Pages>1</Pages>
  <Words>227</Words>
  <Characters>1295</Characters>
  <CharactersWithSpaces>1481</CharactersWithSpaces>
  <Paragraphs>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2023-10-02T18:56:00Z</dcterms:created>
  <dc:creator>Пользователь Windows</dc:creator>
  <dc:description/>
  <dc:language>ru-RU</dc:language>
  <cp:lastModifiedBy/>
  <dcterms:modified xsi:type="dcterms:W3CDTF">2023-10-18T17:51:52Z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